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bookmarkStart w:id="0" w:name="_GoBack"/>
      <w:bookmarkEnd w:id="0"/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0F5CB8EA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1004CB">
        <w:rPr>
          <w:b/>
          <w:bCs/>
          <w:color w:val="262121"/>
        </w:rPr>
        <w:t>2015</w:t>
      </w:r>
      <w:r w:rsidR="00FC6F10">
        <w:rPr>
          <w:b/>
          <w:bCs/>
          <w:color w:val="262121"/>
        </w:rPr>
        <w:t xml:space="preserve"> M. </w:t>
      </w:r>
      <w:r w:rsidR="00C43D88">
        <w:rPr>
          <w:b/>
          <w:bCs/>
          <w:color w:val="262121"/>
        </w:rPr>
        <w:t>I</w:t>
      </w:r>
      <w:r w:rsidR="00C074A7">
        <w:rPr>
          <w:b/>
          <w:bCs/>
          <w:color w:val="262121"/>
        </w:rPr>
        <w:t>I</w:t>
      </w:r>
      <w:r w:rsidR="00C51B9E">
        <w:rPr>
          <w:b/>
          <w:bCs/>
          <w:color w:val="262121"/>
        </w:rPr>
        <w:t xml:space="preserve"> 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Pr="003A048A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66E24EC4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260830">
        <w:rPr>
          <w:color w:val="262121"/>
        </w:rPr>
        <w:t>2015 m. sausio 29 d. sprendimu Nr.T1-2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260830">
        <w:rPr>
          <w:color w:val="262121"/>
        </w:rPr>
        <w:t xml:space="preserve"> (9 etatai</w:t>
      </w:r>
      <w:r w:rsidR="00FD0CBE">
        <w:rPr>
          <w:color w:val="262121"/>
        </w:rPr>
        <w:t>, 10</w:t>
      </w:r>
      <w:r w:rsidR="00332B1F" w:rsidRPr="00FD0CBE">
        <w:rPr>
          <w:color w:val="262121"/>
        </w:rPr>
        <w:t xml:space="preserve"> pareigybės)</w:t>
      </w:r>
      <w:r w:rsidR="003108C5" w:rsidRPr="00FD0CBE">
        <w:rPr>
          <w:color w:val="262121"/>
        </w:rPr>
        <w:t xml:space="preserve">. Ataskaitinio laikotarpio pabaigai užimta </w:t>
      </w:r>
      <w:r w:rsidR="00260830">
        <w:rPr>
          <w:color w:val="262121"/>
        </w:rPr>
        <w:t>10 pareigybių, 8,5</w:t>
      </w:r>
      <w:r w:rsidR="00FD0CBE">
        <w:rPr>
          <w:color w:val="262121"/>
        </w:rPr>
        <w:t xml:space="preserve">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  <w:r w:rsidR="00C074A7">
        <w:rPr>
          <w:color w:val="262121"/>
        </w:rPr>
        <w:t>Per atas</w:t>
      </w:r>
      <w:r w:rsidR="001004CB">
        <w:rPr>
          <w:color w:val="262121"/>
        </w:rPr>
        <w:t>k</w:t>
      </w:r>
      <w:r w:rsidR="00C074A7">
        <w:rPr>
          <w:color w:val="262121"/>
        </w:rPr>
        <w:t>a</w:t>
      </w:r>
      <w:r w:rsidR="001004CB">
        <w:rPr>
          <w:color w:val="262121"/>
        </w:rPr>
        <w:t>itinį laikotarpį darbuotojų kaitos nebuvo.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4A72631F" w14:textId="77777777" w:rsidR="00344C96" w:rsidRDefault="00344C96" w:rsidP="000F1621">
      <w:pPr>
        <w:shd w:val="clear" w:color="auto" w:fill="FFFFFF"/>
        <w:spacing w:after="200" w:line="276" w:lineRule="auto"/>
        <w:ind w:right="96"/>
        <w:jc w:val="both"/>
      </w:pPr>
    </w:p>
    <w:p w14:paraId="21516671" w14:textId="77777777" w:rsidR="009E334F" w:rsidRDefault="009E334F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4661FFD7" w14:textId="09EF1AC2" w:rsidR="00C9636D" w:rsidRDefault="00C9636D" w:rsidP="00C9636D">
      <w:pPr>
        <w:jc w:val="both"/>
      </w:pPr>
      <w:r>
        <w:t xml:space="preserve">Per ataskaitinį laikotarpį Centras gavo finansavimą iš savivaldybės biudžeto </w:t>
      </w:r>
      <w:r w:rsidR="00C074A7">
        <w:rPr>
          <w:lang w:val="en-US"/>
        </w:rPr>
        <w:t>46,2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C074A7">
        <w:t xml:space="preserve">arbuotojo darbo užmokesčiui 1,9 tūkst. </w:t>
      </w:r>
      <w:proofErr w:type="spellStart"/>
      <w:r w:rsidR="00C074A7">
        <w:t>Eur</w:t>
      </w:r>
      <w:proofErr w:type="spellEnd"/>
      <w:r w:rsidR="00C074A7">
        <w:t xml:space="preserve"> ir 44,3</w:t>
      </w:r>
      <w:r w:rsidR="00260830">
        <w:t xml:space="preserve"> tūkst. </w:t>
      </w:r>
      <w:proofErr w:type="spellStart"/>
      <w:r w:rsidR="00260830">
        <w:t>Eur</w:t>
      </w:r>
      <w:proofErr w:type="spellEnd"/>
      <w:r>
        <w:t xml:space="preserve"> pagrindinei Centro ve</w:t>
      </w:r>
      <w:r w:rsidR="00260830">
        <w:t>iklai vykdyti.</w:t>
      </w:r>
    </w:p>
    <w:p w14:paraId="60D796C8" w14:textId="12DE6FC2" w:rsidR="00C9636D" w:rsidRDefault="00C9636D" w:rsidP="00C9636D">
      <w:pPr>
        <w:jc w:val="both"/>
      </w:pPr>
      <w:r>
        <w:t>Ataskaitinio laikotarpio pa</w:t>
      </w:r>
      <w:r w:rsidR="00C074A7">
        <w:t>baigai nepanaudotas likutis 6,1</w:t>
      </w:r>
      <w:r w:rsidR="00260830">
        <w:t xml:space="preserve"> tūkst. </w:t>
      </w:r>
      <w:proofErr w:type="spellStart"/>
      <w:r w:rsidR="00260830">
        <w:t>Eur</w:t>
      </w:r>
      <w:proofErr w:type="spellEnd"/>
      <w:r w:rsidRPr="00C9636D">
        <w:t xml:space="preserve"> </w:t>
      </w:r>
      <w:r w:rsidR="00260830">
        <w:t>bus panaudotas ateinantį laikotarpį.</w:t>
      </w:r>
      <w:r>
        <w:t xml:space="preserve"> Pagal Neringos savivaldybės tarybos patvirtintas sąmatas </w:t>
      </w:r>
      <w:r w:rsidR="00260830">
        <w:t>I</w:t>
      </w:r>
      <w:r w:rsidR="00C074A7">
        <w:t>I</w:t>
      </w:r>
      <w:r w:rsidR="00260830">
        <w:t xml:space="preserve"> </w:t>
      </w:r>
      <w:proofErr w:type="spellStart"/>
      <w:r w:rsidR="00260830">
        <w:t>ketv</w:t>
      </w:r>
      <w:proofErr w:type="spellEnd"/>
      <w:r w:rsidR="00260830">
        <w:t xml:space="preserve">. </w:t>
      </w:r>
      <w:r>
        <w:t>nepa</w:t>
      </w:r>
      <w:r w:rsidR="00A056A0">
        <w:t xml:space="preserve">naudota savivaldybės biudžeto </w:t>
      </w:r>
      <w:r w:rsidR="00C074A7">
        <w:rPr>
          <w:lang w:val="en-US"/>
        </w:rPr>
        <w:t>5,7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 xml:space="preserve"> Centro pagrindinei veiklai vykdyti ir </w:t>
      </w:r>
      <w:r w:rsidR="00C074A7">
        <w:rPr>
          <w:lang w:val="en-US"/>
        </w:rPr>
        <w:t>0,4</w:t>
      </w:r>
      <w:r w:rsidR="00260830"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 w:rsidR="00260830">
        <w:t xml:space="preserve"> valstybės dotacijos skirtos </w:t>
      </w:r>
      <w:proofErr w:type="spellStart"/>
      <w:r w:rsidR="00A056A0">
        <w:t>soc</w:t>
      </w:r>
      <w:proofErr w:type="spellEnd"/>
      <w:r w:rsidR="00A056A0">
        <w:t xml:space="preserve">. darbuotojo </w:t>
      </w:r>
      <w:r w:rsidR="00260830">
        <w:t>darbo užmokesčiui mokėti.</w:t>
      </w:r>
    </w:p>
    <w:p w14:paraId="2A23EC1F" w14:textId="409EEC3A" w:rsidR="00C074A7" w:rsidRDefault="000A2778" w:rsidP="009D4005">
      <w:pPr>
        <w:jc w:val="both"/>
      </w:pPr>
      <w:r>
        <w:t>A</w:t>
      </w:r>
      <w:r w:rsidR="004C6792">
        <w:t>taskaitinio laikotarpio pradžiai</w:t>
      </w:r>
      <w:r>
        <w:t xml:space="preserve"> Centro įsiskolinimas sudarė</w:t>
      </w:r>
      <w:r w:rsidR="000D5143">
        <w:t xml:space="preserve"> </w:t>
      </w:r>
      <w:r w:rsidR="000D5143" w:rsidRPr="00C958D2">
        <w:t>UAB ,,Neringos energija“</w:t>
      </w:r>
      <w:r w:rsidR="004C6792">
        <w:t xml:space="preserve"> </w:t>
      </w:r>
      <w:r w:rsidR="004C6792">
        <w:rPr>
          <w:lang w:val="en-US"/>
        </w:rPr>
        <w:t>0,</w:t>
      </w:r>
      <w:r w:rsidR="00C074A7">
        <w:rPr>
          <w:lang w:val="en-US"/>
        </w:rPr>
        <w:t>0</w:t>
      </w:r>
      <w:r w:rsidR="004C6792">
        <w:rPr>
          <w:lang w:val="en-US"/>
        </w:rPr>
        <w:t>3</w:t>
      </w:r>
      <w:r w:rsidR="004C6792">
        <w:t xml:space="preserve"> tūkst. </w:t>
      </w:r>
      <w:proofErr w:type="spellStart"/>
      <w:r w:rsidR="004C6792">
        <w:t>Eur</w:t>
      </w:r>
      <w:proofErr w:type="spellEnd"/>
      <w:r w:rsidR="000D5143">
        <w:t xml:space="preserve"> už patalpų šildymą, UAB ,,Neringos vanduo</w:t>
      </w:r>
      <w:r w:rsidR="000D5143" w:rsidRPr="00C958D2">
        <w:t>“</w:t>
      </w:r>
      <w:r w:rsidR="00C074A7">
        <w:t xml:space="preserve"> 0,02</w:t>
      </w:r>
      <w:r w:rsidR="004C6792">
        <w:t xml:space="preserve"> tūkst. </w:t>
      </w:r>
      <w:proofErr w:type="spellStart"/>
      <w:r w:rsidR="004C6792">
        <w:t>Eur</w:t>
      </w:r>
      <w:proofErr w:type="spellEnd"/>
      <w:r w:rsidR="000D5143">
        <w:t xml:space="preserve">, </w:t>
      </w:r>
      <w:r w:rsidR="00C074A7">
        <w:t>UAB Omnitel – 0,03</w:t>
      </w:r>
      <w:r w:rsidR="004C6792">
        <w:t xml:space="preserve"> tūkst. </w:t>
      </w:r>
      <w:proofErr w:type="spellStart"/>
      <w:r w:rsidR="004C6792">
        <w:t>Eur</w:t>
      </w:r>
      <w:proofErr w:type="spellEnd"/>
      <w:r w:rsidR="000D5143">
        <w:t>.</w:t>
      </w:r>
      <w:r w:rsidR="00C074A7">
        <w:t xml:space="preserve">, </w:t>
      </w:r>
      <w:r w:rsidR="004C6792">
        <w:t xml:space="preserve">UAB </w:t>
      </w:r>
      <w:proofErr w:type="spellStart"/>
      <w:r w:rsidR="004C6792">
        <w:t>Ventus</w:t>
      </w:r>
      <w:proofErr w:type="spellEnd"/>
      <w:r w:rsidR="004C6792">
        <w:t xml:space="preserve"> nafta </w:t>
      </w:r>
      <w:r w:rsidR="00C074A7">
        <w:rPr>
          <w:lang w:val="en-US"/>
        </w:rPr>
        <w:t>0,1</w:t>
      </w:r>
      <w:r w:rsidR="004C6792">
        <w:rPr>
          <w:lang w:val="en-US"/>
        </w:rPr>
        <w:t xml:space="preserve"> </w:t>
      </w:r>
      <w:r w:rsidR="004C6792">
        <w:t>tūk</w:t>
      </w:r>
      <w:r w:rsidR="00C074A7">
        <w:t xml:space="preserve">st. </w:t>
      </w:r>
      <w:proofErr w:type="spellStart"/>
      <w:r w:rsidR="00C074A7">
        <w:t>Eur</w:t>
      </w:r>
      <w:proofErr w:type="spellEnd"/>
      <w:r w:rsidR="00C074A7">
        <w:t xml:space="preserve">, AB TEO 0,02 tūkst. </w:t>
      </w:r>
      <w:proofErr w:type="spellStart"/>
      <w:r w:rsidR="00C074A7">
        <w:t>Eur</w:t>
      </w:r>
      <w:proofErr w:type="spellEnd"/>
      <w:r w:rsidR="00C074A7">
        <w:t>,</w:t>
      </w:r>
    </w:p>
    <w:p w14:paraId="3F2634E2" w14:textId="77777777" w:rsidR="00C074A7" w:rsidRPr="002F4BEE" w:rsidRDefault="00C074A7" w:rsidP="009D4005">
      <w:pPr>
        <w:jc w:val="both"/>
      </w:pPr>
    </w:p>
    <w:p w14:paraId="26191C67" w14:textId="77777777" w:rsidR="00264895" w:rsidRDefault="00264895" w:rsidP="00A6763A">
      <w:pPr>
        <w:ind w:left="720"/>
        <w:jc w:val="both"/>
        <w:rPr>
          <w:b/>
        </w:rPr>
      </w:pPr>
    </w:p>
    <w:p w14:paraId="2C635304" w14:textId="77777777" w:rsidR="00A6763A" w:rsidRDefault="00A6763A" w:rsidP="00A6763A">
      <w:pPr>
        <w:ind w:left="720"/>
        <w:jc w:val="both"/>
      </w:pPr>
      <w:r w:rsidRPr="00A6763A">
        <w:rPr>
          <w:b/>
        </w:rPr>
        <w:t>Pastaba Nr.1</w:t>
      </w:r>
    </w:p>
    <w:p w14:paraId="797491BF" w14:textId="38874C20" w:rsidR="00DC6E91" w:rsidRDefault="001D6AB2" w:rsidP="00EA1CAE">
      <w:pPr>
        <w:jc w:val="both"/>
      </w:pPr>
      <w:r w:rsidRPr="001D6AB2">
        <w:rPr>
          <w:b/>
        </w:rPr>
        <w:lastRenderedPageBreak/>
        <w:t>Darbo užmokestis ir socialinio draudimo įmokos</w:t>
      </w:r>
      <w:r w:rsidR="004824A0">
        <w:t xml:space="preserve"> – per 201</w:t>
      </w:r>
      <w:r w:rsidR="004824A0">
        <w:rPr>
          <w:lang w:val="en-US"/>
        </w:rPr>
        <w:t>5</w:t>
      </w:r>
      <w:r w:rsidR="00F94B07">
        <w:t xml:space="preserve"> m.</w:t>
      </w:r>
      <w:r w:rsidR="004824A0">
        <w:t xml:space="preserve"> I</w:t>
      </w:r>
      <w:r w:rsidR="00C074A7">
        <w:t>I</w:t>
      </w:r>
      <w:r w:rsidR="004824A0">
        <w:t xml:space="preserve"> </w:t>
      </w:r>
      <w:proofErr w:type="spellStart"/>
      <w:r w:rsidR="004824A0">
        <w:t>ketv</w:t>
      </w:r>
      <w:proofErr w:type="spellEnd"/>
      <w:r w:rsidR="004824A0">
        <w:t>. panaudota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C074A7">
        <w:t>21,1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264895">
        <w:t xml:space="preserve">, </w:t>
      </w:r>
      <w:proofErr w:type="spellStart"/>
      <w:r w:rsidR="0094253B">
        <w:rPr>
          <w:lang w:val="en-US"/>
        </w:rPr>
        <w:t>įmokoms</w:t>
      </w:r>
      <w:proofErr w:type="spellEnd"/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C074A7">
        <w:t xml:space="preserve"> 6,4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 xml:space="preserve">, </w:t>
      </w:r>
      <w:r w:rsidR="00264895">
        <w:t>viso pana</w:t>
      </w:r>
      <w:r w:rsidR="00173B00">
        <w:t>u</w:t>
      </w:r>
      <w:r w:rsidR="00C074A7">
        <w:t>dota darbuotojų išlaikymui 27,5</w:t>
      </w:r>
      <w:r w:rsidR="00040D97">
        <w:t xml:space="preserve"> tūkst. </w:t>
      </w:r>
      <w:proofErr w:type="spellStart"/>
      <w:r w:rsidR="00040D97">
        <w:t>Eur</w:t>
      </w:r>
      <w:proofErr w:type="spellEnd"/>
      <w:r w:rsidR="00264895">
        <w:t>.</w:t>
      </w:r>
    </w:p>
    <w:p w14:paraId="08084FAA" w14:textId="7D8AAA17" w:rsidR="00264895" w:rsidRPr="009E334F" w:rsidRDefault="0054448C" w:rsidP="009E334F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C074A7">
        <w:t>1,9</w:t>
      </w:r>
      <w:r w:rsidR="004824A0">
        <w:t xml:space="preserve"> tūkst.</w:t>
      </w:r>
      <w:r w:rsidR="00C074A7">
        <w:t xml:space="preserve"> </w:t>
      </w:r>
      <w:proofErr w:type="spellStart"/>
      <w:r w:rsidR="00C074A7">
        <w:t>Eur</w:t>
      </w:r>
      <w:proofErr w:type="spellEnd"/>
      <w:r w:rsidR="00C074A7">
        <w:t>. Panaudota 1,1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C074A7">
        <w:t>i – 0,3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F37D9A">
        <w:t xml:space="preserve">  Viso panaudot</w:t>
      </w:r>
      <w:r w:rsidR="00C074A7">
        <w:t>a 1,4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>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05D41FF4" w14:textId="77777777" w:rsidR="001D6AB2" w:rsidRPr="001D6AB2" w:rsidRDefault="001D6AB2" w:rsidP="00A6763A">
      <w:pPr>
        <w:ind w:left="720"/>
        <w:jc w:val="both"/>
        <w:rPr>
          <w:b/>
        </w:rPr>
      </w:pPr>
      <w:r w:rsidRPr="001D6AB2">
        <w:rPr>
          <w:b/>
        </w:rPr>
        <w:t>Pastaba Nr.2</w:t>
      </w:r>
    </w:p>
    <w:p w14:paraId="35DA8ADD" w14:textId="4D82B5C0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>
        <w:rPr>
          <w:b/>
        </w:rPr>
        <w:t xml:space="preserve"> – </w:t>
      </w:r>
      <w:r w:rsidR="00CA2B39">
        <w:t>p</w:t>
      </w:r>
      <w:r w:rsidR="009249F4">
        <w:t>a</w:t>
      </w:r>
      <w:r w:rsidR="002A13FA">
        <w:t>naudota 0,4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3D63EC" w:rsidRPr="007C3B83">
        <w:t>TEO LT, AB už telekom</w:t>
      </w:r>
      <w:r w:rsidR="009D411B">
        <w:t xml:space="preserve">unikacijų paslaugas </w:t>
      </w:r>
      <w:r w:rsidR="002A13FA">
        <w:t xml:space="preserve">0,1 </w:t>
      </w:r>
      <w:r w:rsidR="00FD6995">
        <w:t xml:space="preserve">tūkst. </w:t>
      </w:r>
      <w:proofErr w:type="spellStart"/>
      <w:r w:rsidR="00FD6995">
        <w:t>Eur</w:t>
      </w:r>
      <w:proofErr w:type="spellEnd"/>
      <w:r w:rsidR="00FD6995">
        <w:t xml:space="preserve"> </w:t>
      </w:r>
      <w:r w:rsidR="009D411B">
        <w:t xml:space="preserve">ir </w:t>
      </w:r>
      <w:r w:rsidR="003D63EC" w:rsidRPr="007C3B83">
        <w:t>UAB ,,Omnitel“ už pokalb</w:t>
      </w:r>
      <w:r w:rsidR="005A32EB">
        <w:t>ius mobiliaisiais te</w:t>
      </w:r>
      <w:r w:rsidR="00FD6995">
        <w:t xml:space="preserve">lefonais 0,3 </w:t>
      </w:r>
      <w:r w:rsidR="00FD6995" w:rsidRPr="00FD6995">
        <w:t xml:space="preserve"> </w:t>
      </w:r>
      <w:r w:rsidR="00FD6995">
        <w:t xml:space="preserve">tūkst. </w:t>
      </w:r>
      <w:proofErr w:type="spellStart"/>
      <w:r w:rsidR="00FD6995">
        <w:t>Eur</w:t>
      </w:r>
      <w:proofErr w:type="spellEnd"/>
      <w:r w:rsidR="00FD6995">
        <w:t xml:space="preserve">. 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77777777" w:rsidR="001D6AB2" w:rsidRPr="001D6AB2" w:rsidRDefault="001D6AB2" w:rsidP="00A6763A">
      <w:pPr>
        <w:ind w:left="720"/>
        <w:jc w:val="both"/>
        <w:rPr>
          <w:b/>
        </w:rPr>
      </w:pPr>
      <w:r w:rsidRPr="001D6AB2">
        <w:rPr>
          <w:b/>
        </w:rPr>
        <w:t>Pastaba Nr.3</w:t>
      </w:r>
    </w:p>
    <w:p w14:paraId="07A2F954" w14:textId="6C94A464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9D411B">
        <w:t xml:space="preserve">panaudota </w:t>
      </w:r>
      <w:r w:rsidR="00FD6995">
        <w:rPr>
          <w:lang w:val="en-US"/>
        </w:rPr>
        <w:t xml:space="preserve">3,3 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>i 1,1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D411B">
        <w:t xml:space="preserve"> </w:t>
      </w:r>
      <w:r w:rsidR="00E8321A" w:rsidRPr="0043119C">
        <w:t xml:space="preserve">(AB </w:t>
      </w:r>
      <w:r w:rsidR="009D411B">
        <w:t>,,</w:t>
      </w:r>
      <w:proofErr w:type="spellStart"/>
      <w:r w:rsidR="009D411B">
        <w:t>Ventus</w:t>
      </w:r>
      <w:proofErr w:type="spellEnd"/>
      <w:r w:rsidR="009D411B">
        <w:t xml:space="preserve"> nafta“), transporto remonto išlaidoms </w:t>
      </w:r>
      <w:r w:rsidR="009D411B">
        <w:rPr>
          <w:lang w:val="en-US"/>
        </w:rPr>
        <w:t>2,2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3C03D1">
        <w:t>.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77777777" w:rsidR="00E8321A" w:rsidRPr="009D4005" w:rsidRDefault="00E8321A" w:rsidP="00E8321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5DEAC5E8" w:rsidR="00D448BF" w:rsidRPr="00936DC4" w:rsidRDefault="00D448BF" w:rsidP="00E86783">
      <w:pPr>
        <w:jc w:val="both"/>
        <w:rPr>
          <w:lang w:val="en-US"/>
        </w:rPr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proofErr w:type="spellStart"/>
      <w:r w:rsidR="003239C9">
        <w:rPr>
          <w:lang w:val="en-US"/>
        </w:rPr>
        <w:t>panaudota</w:t>
      </w:r>
      <w:proofErr w:type="spellEnd"/>
      <w:r w:rsidR="003239C9">
        <w:rPr>
          <w:lang w:val="en-US"/>
        </w:rPr>
        <w:t xml:space="preserve"> 0,1</w:t>
      </w:r>
      <w:r w:rsidR="00D876BD">
        <w:rPr>
          <w:lang w:val="en-US"/>
        </w:rPr>
        <w:t xml:space="preserve"> t</w:t>
      </w:r>
      <w:proofErr w:type="spellStart"/>
      <w:r w:rsidR="003239C9">
        <w:t>ūkst</w:t>
      </w:r>
      <w:proofErr w:type="spellEnd"/>
      <w:r w:rsidR="003239C9">
        <w:t xml:space="preserve">. </w:t>
      </w:r>
      <w:proofErr w:type="spellStart"/>
      <w:r w:rsidR="003239C9">
        <w:t>Eur</w:t>
      </w:r>
      <w:proofErr w:type="spellEnd"/>
      <w:r w:rsidR="00D876BD">
        <w:t xml:space="preserve"> el. prenum</w:t>
      </w:r>
      <w:r w:rsidR="003239C9">
        <w:t>eratai užsakyti.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77777777" w:rsidR="001D6AB2" w:rsidRPr="009D4005" w:rsidRDefault="00E8321A" w:rsidP="00A6763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0DC40E19" w14:textId="3DC69730" w:rsidR="001B394F" w:rsidRPr="00FD6995" w:rsidRDefault="009D4005" w:rsidP="009D4005">
      <w:pPr>
        <w:jc w:val="both"/>
        <w:rPr>
          <w:lang w:val="en-US"/>
        </w:rPr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FD6995">
        <w:t xml:space="preserve"> panaudota 0,07</w:t>
      </w:r>
      <w:r w:rsidR="003239C9">
        <w:t xml:space="preserve"> tūkst. </w:t>
      </w:r>
      <w:proofErr w:type="spellStart"/>
      <w:r w:rsidR="003239C9">
        <w:t>Eur</w:t>
      </w:r>
      <w:proofErr w:type="spellEnd"/>
      <w:r w:rsidR="003239C9">
        <w:t>.</w:t>
      </w:r>
      <w:r w:rsidR="00182376">
        <w:t xml:space="preserve"> </w:t>
      </w:r>
      <w:r w:rsidR="00B32F6A" w:rsidRPr="00D5442B">
        <w:t>Lėšos naudotos</w:t>
      </w:r>
      <w:r w:rsidR="00936DC4">
        <w:t xml:space="preserve"> </w:t>
      </w:r>
      <w:r w:rsidR="00360B38">
        <w:t>prekėms įsigy</w:t>
      </w:r>
      <w:r w:rsidR="003239C9">
        <w:t>ti iš U</w:t>
      </w:r>
      <w:r w:rsidR="00FD6995">
        <w:t xml:space="preserve">AB </w:t>
      </w:r>
      <w:proofErr w:type="spellStart"/>
      <w:r w:rsidR="00FD6995">
        <w:t>Officeday</w:t>
      </w:r>
      <w:proofErr w:type="spellEnd"/>
      <w:r w:rsidR="00FD6995">
        <w:t xml:space="preserve"> ir UAB </w:t>
      </w:r>
      <w:proofErr w:type="spellStart"/>
      <w:r w:rsidR="00FD6995">
        <w:t>Sinerta</w:t>
      </w:r>
      <w:proofErr w:type="spellEnd"/>
      <w:r w:rsidR="00FD6995">
        <w:t xml:space="preserve"> LDC, AB Lietuvos paštas</w:t>
      </w:r>
      <w:r w:rsidR="00FD6995">
        <w:rPr>
          <w:lang w:val="en-US"/>
        </w:rPr>
        <w:t>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77777777" w:rsidR="009D4005" w:rsidRPr="009D4005" w:rsidRDefault="00E8321A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5415F1B8" w14:textId="32D35EAE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p</w:t>
      </w:r>
      <w:r w:rsidR="00AA3A6B">
        <w:t xml:space="preserve">anaudota </w:t>
      </w:r>
      <w:r w:rsidR="003239C9">
        <w:rPr>
          <w:lang w:val="en-US"/>
        </w:rPr>
        <w:t>0,1</w:t>
      </w:r>
      <w:r w:rsidR="00AA3A6B">
        <w:rPr>
          <w:lang w:val="en-US"/>
        </w:rPr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AA3A6B">
        <w:t>.</w:t>
      </w:r>
      <w:r w:rsidR="003239C9">
        <w:t xml:space="preserve"> Lė</w:t>
      </w:r>
      <w:r w:rsidR="00080169">
        <w:t>šos naudotos</w:t>
      </w:r>
      <w:r w:rsidR="003239C9">
        <w:t xml:space="preserve"> už mokomuosius seminarus UAB </w:t>
      </w:r>
      <w:proofErr w:type="spellStart"/>
      <w:r w:rsidR="003239C9">
        <w:t>Do</w:t>
      </w:r>
      <w:r w:rsidR="00FD6995">
        <w:t>revi</w:t>
      </w:r>
      <w:proofErr w:type="spellEnd"/>
      <w:r w:rsidR="00FD6995">
        <w:t xml:space="preserve"> ir Klaipėdos universitetui, KKSDA.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77777777" w:rsidR="00736863" w:rsidRPr="009D4005" w:rsidRDefault="00736863" w:rsidP="00736863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6A28E50A" w14:textId="6A131ADE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3239C9">
        <w:t>pa</w:t>
      </w:r>
      <w:r w:rsidR="00706B60">
        <w:t xml:space="preserve">naudota </w:t>
      </w:r>
      <w:r w:rsidR="003239C9">
        <w:t>0,</w:t>
      </w:r>
      <w:r w:rsidR="003239C9">
        <w:rPr>
          <w:lang w:val="en-US"/>
        </w:rPr>
        <w:t>1 t</w:t>
      </w:r>
      <w:proofErr w:type="spellStart"/>
      <w:r w:rsidR="003239C9">
        <w:t>ūkst</w:t>
      </w:r>
      <w:proofErr w:type="spellEnd"/>
      <w:r w:rsidR="003239C9">
        <w:t xml:space="preserve">. </w:t>
      </w:r>
      <w:proofErr w:type="spellStart"/>
      <w:r w:rsidR="003239C9">
        <w:t>Eur</w:t>
      </w:r>
      <w:proofErr w:type="spellEnd"/>
      <w:r w:rsidR="003239C9">
        <w:t>.</w:t>
      </w:r>
      <w:r w:rsidR="00AA3A6B">
        <w:t xml:space="preserve"> </w:t>
      </w:r>
      <w:r w:rsidR="00706B60">
        <w:t>transporto išlaidoms padengti, dienpinigiams išmokėti.</w:t>
      </w:r>
    </w:p>
    <w:p w14:paraId="3DE7A2C0" w14:textId="77777777" w:rsidR="00B32F6A" w:rsidRDefault="00B32F6A" w:rsidP="009D4005">
      <w:pPr>
        <w:jc w:val="both"/>
      </w:pPr>
    </w:p>
    <w:p w14:paraId="7A5B6BB9" w14:textId="77777777" w:rsidR="00E876FE" w:rsidRPr="00CD4BB6" w:rsidRDefault="00E876FE" w:rsidP="00E876FE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0409F74" w14:textId="488F21B5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3239C9" w:rsidRPr="003239C9">
        <w:t xml:space="preserve">per </w:t>
      </w:r>
      <w:proofErr w:type="spellStart"/>
      <w:r w:rsidR="003239C9" w:rsidRPr="003239C9">
        <w:t>atasakaitinį</w:t>
      </w:r>
      <w:proofErr w:type="spellEnd"/>
      <w:r w:rsidR="003239C9" w:rsidRPr="003239C9">
        <w:t xml:space="preserve"> laikotarpį</w:t>
      </w:r>
      <w:r w:rsidR="003239C9">
        <w:rPr>
          <w:b/>
        </w:rPr>
        <w:t xml:space="preserve"> </w:t>
      </w:r>
      <w:r w:rsidR="003239C9">
        <w:t xml:space="preserve">panaudota </w:t>
      </w:r>
      <w:r w:rsidR="00972553">
        <w:rPr>
          <w:lang w:val="en-US"/>
        </w:rPr>
        <w:t>2,9</w:t>
      </w:r>
      <w:r w:rsidR="003239C9">
        <w:t xml:space="preserve"> tūkst. </w:t>
      </w:r>
      <w:proofErr w:type="spellStart"/>
      <w:r w:rsidR="003239C9">
        <w:t>Eur</w:t>
      </w:r>
      <w:proofErr w:type="spellEnd"/>
      <w:r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972553">
        <w:t xml:space="preserve"> 2,8 tūkst. </w:t>
      </w:r>
      <w:proofErr w:type="spellStart"/>
      <w:r w:rsidR="00972553">
        <w:t>Eur</w:t>
      </w:r>
      <w:proofErr w:type="spellEnd"/>
      <w:r w:rsidR="00972553">
        <w:t xml:space="preserve">, </w:t>
      </w:r>
      <w:r w:rsidR="003239C9">
        <w:t>UAB ,,Neringos vanduo“</w:t>
      </w:r>
      <w:r w:rsidR="00972553">
        <w:t xml:space="preserve"> 0,07</w:t>
      </w:r>
      <w:r w:rsidR="00972553" w:rsidRPr="00972553">
        <w:t xml:space="preserve"> </w:t>
      </w:r>
      <w:r w:rsidR="00972553">
        <w:t xml:space="preserve">tūkst. </w:t>
      </w:r>
      <w:proofErr w:type="spellStart"/>
      <w:r w:rsidR="00972553">
        <w:t>Eur</w:t>
      </w:r>
      <w:proofErr w:type="spellEnd"/>
      <w:r w:rsidR="00972553">
        <w:t xml:space="preserve">. </w:t>
      </w:r>
      <w:r w:rsidR="00A34C2D" w:rsidRPr="00D5442B">
        <w:t>.</w:t>
      </w:r>
    </w:p>
    <w:p w14:paraId="6A31F9BB" w14:textId="77777777" w:rsidR="00E876FE" w:rsidRDefault="00E876FE" w:rsidP="009D4005">
      <w:pPr>
        <w:jc w:val="both"/>
      </w:pPr>
    </w:p>
    <w:p w14:paraId="1A467DE9" w14:textId="77777777" w:rsidR="009D4005" w:rsidRPr="009D4005" w:rsidRDefault="00E876FE" w:rsidP="00A6763A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1D591A9B" w14:textId="1C5DA368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per I</w:t>
      </w:r>
      <w:r w:rsidR="00972553">
        <w:t>I</w:t>
      </w:r>
      <w:r w:rsidR="003239C9">
        <w:t xml:space="preserve"> </w:t>
      </w:r>
      <w:proofErr w:type="spellStart"/>
      <w:r w:rsidR="003239C9">
        <w:t>ketv</w:t>
      </w:r>
      <w:proofErr w:type="spellEnd"/>
      <w:r w:rsidR="003239C9">
        <w:t>. p</w:t>
      </w:r>
      <w:r w:rsidR="00DC18E4">
        <w:t xml:space="preserve">anaudota </w:t>
      </w:r>
      <w:r w:rsidR="00972553">
        <w:t xml:space="preserve">4,1 </w:t>
      </w:r>
      <w:r w:rsidR="003239C9">
        <w:t xml:space="preserve"> tūkst. </w:t>
      </w:r>
      <w:proofErr w:type="spellStart"/>
      <w:r w:rsidR="003239C9">
        <w:t>Eur</w:t>
      </w:r>
      <w:proofErr w:type="spellEnd"/>
      <w:r w:rsidR="00721088">
        <w:t>, iš jų: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2A5A1DCC" w:rsidR="00721088" w:rsidRDefault="00972553" w:rsidP="00F71A31">
            <w:pPr>
              <w:jc w:val="both"/>
            </w:pPr>
            <w:r>
              <w:t>0,2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77777777" w:rsidR="00721088" w:rsidRDefault="00721088" w:rsidP="00F71A31">
            <w:pPr>
              <w:jc w:val="both"/>
            </w:pPr>
            <w:r>
              <w:t>Už mirusiųjų pervežimą</w:t>
            </w:r>
            <w:r w:rsidR="00494449">
              <w:t xml:space="preserve"> UAB ,,Klaipėdos laidojimo, kremavimo centrui“</w:t>
            </w:r>
          </w:p>
        </w:tc>
        <w:tc>
          <w:tcPr>
            <w:tcW w:w="1842" w:type="dxa"/>
          </w:tcPr>
          <w:p w14:paraId="47C6F706" w14:textId="009EB301" w:rsidR="00721088" w:rsidRPr="00E86356" w:rsidRDefault="00972553" w:rsidP="00F71A31">
            <w:pPr>
              <w:jc w:val="both"/>
            </w:pPr>
            <w:r>
              <w:t xml:space="preserve">2,8 tūkst. </w:t>
            </w:r>
            <w:proofErr w:type="spellStart"/>
            <w:r>
              <w:t>Eur</w:t>
            </w:r>
            <w:proofErr w:type="spellEnd"/>
            <w:r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1B3C426F" w:rsidR="00DC18E4" w:rsidRPr="00E86356" w:rsidRDefault="00242BA3" w:rsidP="00F71A31">
            <w:pPr>
              <w:jc w:val="both"/>
            </w:pPr>
            <w:r>
              <w:t>0,06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6160759F" w:rsidR="00721088" w:rsidRPr="00E34C14" w:rsidRDefault="00972553" w:rsidP="00F71A31">
            <w:pPr>
              <w:jc w:val="both"/>
            </w:pPr>
            <w:r>
              <w:t>0,07</w:t>
            </w:r>
            <w:r w:rsidR="00040D97">
              <w:t xml:space="preserve"> 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3310257E" w14:textId="77777777" w:rsidTr="00080169">
        <w:tc>
          <w:tcPr>
            <w:tcW w:w="7597" w:type="dxa"/>
          </w:tcPr>
          <w:p w14:paraId="4CDAEDCB" w14:textId="0D7B17F0" w:rsidR="00972553" w:rsidRDefault="00972553" w:rsidP="00F71A31">
            <w:pPr>
              <w:jc w:val="both"/>
            </w:pPr>
            <w:r>
              <w:t>LP Maisto bankas</w:t>
            </w:r>
          </w:p>
        </w:tc>
        <w:tc>
          <w:tcPr>
            <w:tcW w:w="1842" w:type="dxa"/>
          </w:tcPr>
          <w:p w14:paraId="05E165EF" w14:textId="67904AB3" w:rsidR="00972553" w:rsidRDefault="00972553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58409F3F" w:rsidR="00972553" w:rsidRDefault="00972553" w:rsidP="00F71A31">
            <w:pPr>
              <w:jc w:val="both"/>
            </w:pPr>
            <w:r>
              <w:t xml:space="preserve">0,7 tūkst. </w:t>
            </w:r>
            <w:proofErr w:type="spellStart"/>
            <w:r>
              <w:t>Eur</w:t>
            </w:r>
            <w:proofErr w:type="spellEnd"/>
          </w:p>
        </w:tc>
      </w:tr>
      <w:tr w:rsidR="000E6A83" w:rsidRPr="00E34C14" w14:paraId="3DAA8D6C" w14:textId="77777777" w:rsidTr="00080169">
        <w:tc>
          <w:tcPr>
            <w:tcW w:w="7597" w:type="dxa"/>
          </w:tcPr>
          <w:p w14:paraId="0E42D1F3" w14:textId="77777777" w:rsidR="000E6A83" w:rsidRPr="00E34C14" w:rsidRDefault="000E6A83" w:rsidP="00F71A31">
            <w:pPr>
              <w:jc w:val="both"/>
            </w:pPr>
            <w:r>
              <w:t>VĮ Registrų centras</w:t>
            </w:r>
          </w:p>
        </w:tc>
        <w:tc>
          <w:tcPr>
            <w:tcW w:w="1842" w:type="dxa"/>
          </w:tcPr>
          <w:p w14:paraId="347D1565" w14:textId="71783AD6" w:rsidR="000E6A83" w:rsidRPr="00E34C14" w:rsidRDefault="00080169" w:rsidP="00F71A31">
            <w:pPr>
              <w:jc w:val="both"/>
            </w:pPr>
            <w:r>
              <w:t xml:space="preserve">0,04 tūkst. </w:t>
            </w:r>
            <w:proofErr w:type="spellStart"/>
            <w:r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61CB3E63" w:rsidR="00E34C14" w:rsidRDefault="00972553" w:rsidP="00F71A31">
            <w:pPr>
              <w:jc w:val="both"/>
              <w:rPr>
                <w:b/>
              </w:rPr>
            </w:pPr>
            <w:r>
              <w:rPr>
                <w:b/>
              </w:rPr>
              <w:t xml:space="preserve">4,1 </w:t>
            </w:r>
            <w:r w:rsidR="00B52392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2D5A7BBE" w14:textId="0405E9A3" w:rsidR="00E50942" w:rsidRPr="00B348E7" w:rsidRDefault="00B348E7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Pagal Neringos savivaldybės tarybos patvirtintas programas iš Neringos savivaldybės gauta </w:t>
      </w:r>
      <w:r>
        <w:rPr>
          <w:color w:val="262121"/>
          <w:lang w:val="en-US"/>
        </w:rPr>
        <w:t xml:space="preserve">1,4 </w:t>
      </w:r>
      <w:r>
        <w:rPr>
          <w:color w:val="262121"/>
        </w:rPr>
        <w:t xml:space="preserve">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 projektui “Socialinės atskirties mažinimas Neringos bendruomenėje” vykdyti, per II </w:t>
      </w:r>
      <w:proofErr w:type="spellStart"/>
      <w:r>
        <w:rPr>
          <w:color w:val="262121"/>
        </w:rPr>
        <w:t>ketv</w:t>
      </w:r>
      <w:proofErr w:type="spellEnd"/>
      <w:r>
        <w:rPr>
          <w:color w:val="262121"/>
        </w:rPr>
        <w:t xml:space="preserve">. panaudota </w:t>
      </w:r>
      <w:r>
        <w:rPr>
          <w:color w:val="262121"/>
          <w:lang w:val="en-US"/>
        </w:rPr>
        <w:t xml:space="preserve">1,4 </w:t>
      </w:r>
      <w:r>
        <w:t xml:space="preserve">tūkst. </w:t>
      </w:r>
      <w:proofErr w:type="spellStart"/>
      <w:r>
        <w:t>Eur</w:t>
      </w:r>
      <w:proofErr w:type="spellEnd"/>
      <w:r>
        <w:t xml:space="preserve"> paslaugų teikėjams pagal sutartis už paskaitas ir kt.</w:t>
      </w:r>
    </w:p>
    <w:p w14:paraId="0349F1D5" w14:textId="77777777" w:rsidR="00E50942" w:rsidRDefault="00E50942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5A3EAAB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CA5C8B">
        <w:rPr>
          <w:color w:val="262121"/>
        </w:rPr>
        <w:t xml:space="preserve">irektorė </w:t>
      </w:r>
      <w:r w:rsidR="00CA5C8B">
        <w:rPr>
          <w:color w:val="262121"/>
        </w:rPr>
        <w:tab/>
        <w:t xml:space="preserve">Valdonė </w:t>
      </w:r>
      <w:proofErr w:type="spellStart"/>
      <w:r w:rsidR="00CA5C8B">
        <w:rPr>
          <w:color w:val="262121"/>
        </w:rPr>
        <w:t>Eimutien</w:t>
      </w:r>
      <w:r w:rsidR="00C07990">
        <w:rPr>
          <w:color w:val="262121"/>
        </w:rPr>
        <w:t>ė</w:t>
      </w:r>
      <w:proofErr w:type="spellEnd"/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D27"/>
    <w:rsid w:val="00033046"/>
    <w:rsid w:val="00040D97"/>
    <w:rsid w:val="00041BBD"/>
    <w:rsid w:val="00050F75"/>
    <w:rsid w:val="00056524"/>
    <w:rsid w:val="00063893"/>
    <w:rsid w:val="00071852"/>
    <w:rsid w:val="00073C83"/>
    <w:rsid w:val="00080169"/>
    <w:rsid w:val="00083C70"/>
    <w:rsid w:val="00086EA4"/>
    <w:rsid w:val="0009117A"/>
    <w:rsid w:val="0009395F"/>
    <w:rsid w:val="000A2778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73B00"/>
    <w:rsid w:val="00180ED4"/>
    <w:rsid w:val="00182376"/>
    <w:rsid w:val="00190DD6"/>
    <w:rsid w:val="00191A43"/>
    <w:rsid w:val="00196C94"/>
    <w:rsid w:val="001B312C"/>
    <w:rsid w:val="001B394F"/>
    <w:rsid w:val="001C45F1"/>
    <w:rsid w:val="001C7D1B"/>
    <w:rsid w:val="001D5C60"/>
    <w:rsid w:val="001D6AB2"/>
    <w:rsid w:val="001E2A0C"/>
    <w:rsid w:val="00222D4C"/>
    <w:rsid w:val="00227EAF"/>
    <w:rsid w:val="00242BA3"/>
    <w:rsid w:val="00260830"/>
    <w:rsid w:val="00264895"/>
    <w:rsid w:val="002709C6"/>
    <w:rsid w:val="002728CC"/>
    <w:rsid w:val="002733E0"/>
    <w:rsid w:val="00282DDC"/>
    <w:rsid w:val="00292315"/>
    <w:rsid w:val="00296546"/>
    <w:rsid w:val="002A13FA"/>
    <w:rsid w:val="002A15E4"/>
    <w:rsid w:val="002A2689"/>
    <w:rsid w:val="002A489D"/>
    <w:rsid w:val="002B6CF9"/>
    <w:rsid w:val="002C2213"/>
    <w:rsid w:val="002D2535"/>
    <w:rsid w:val="002D2B5C"/>
    <w:rsid w:val="002D7436"/>
    <w:rsid w:val="002F4BEE"/>
    <w:rsid w:val="002F6127"/>
    <w:rsid w:val="003108C5"/>
    <w:rsid w:val="003162D2"/>
    <w:rsid w:val="003239C9"/>
    <w:rsid w:val="00332B1F"/>
    <w:rsid w:val="00333CF3"/>
    <w:rsid w:val="00344C96"/>
    <w:rsid w:val="00360B38"/>
    <w:rsid w:val="0036139A"/>
    <w:rsid w:val="00365589"/>
    <w:rsid w:val="00367D65"/>
    <w:rsid w:val="00374A10"/>
    <w:rsid w:val="003773CD"/>
    <w:rsid w:val="003814AA"/>
    <w:rsid w:val="003A048A"/>
    <w:rsid w:val="003A3B01"/>
    <w:rsid w:val="003A7E54"/>
    <w:rsid w:val="003B363C"/>
    <w:rsid w:val="003C03D1"/>
    <w:rsid w:val="003D3ABB"/>
    <w:rsid w:val="003D5D27"/>
    <w:rsid w:val="003D63EC"/>
    <w:rsid w:val="003F63C1"/>
    <w:rsid w:val="00403C2C"/>
    <w:rsid w:val="0042165A"/>
    <w:rsid w:val="00421FA1"/>
    <w:rsid w:val="00422945"/>
    <w:rsid w:val="00422B0E"/>
    <w:rsid w:val="00425306"/>
    <w:rsid w:val="0043119C"/>
    <w:rsid w:val="004466D3"/>
    <w:rsid w:val="00446F5A"/>
    <w:rsid w:val="00454300"/>
    <w:rsid w:val="00455AA7"/>
    <w:rsid w:val="00457CFF"/>
    <w:rsid w:val="00464A98"/>
    <w:rsid w:val="00476697"/>
    <w:rsid w:val="00481927"/>
    <w:rsid w:val="004824A0"/>
    <w:rsid w:val="0048408F"/>
    <w:rsid w:val="00494449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503F50"/>
    <w:rsid w:val="005159AE"/>
    <w:rsid w:val="00516700"/>
    <w:rsid w:val="00524C89"/>
    <w:rsid w:val="00530EA4"/>
    <w:rsid w:val="00532607"/>
    <w:rsid w:val="0054448C"/>
    <w:rsid w:val="005476D5"/>
    <w:rsid w:val="005567CF"/>
    <w:rsid w:val="00572DBA"/>
    <w:rsid w:val="005A32EB"/>
    <w:rsid w:val="005A3F77"/>
    <w:rsid w:val="005B0AA2"/>
    <w:rsid w:val="005C37E0"/>
    <w:rsid w:val="005D1270"/>
    <w:rsid w:val="005D7FA9"/>
    <w:rsid w:val="005F4279"/>
    <w:rsid w:val="00601FDE"/>
    <w:rsid w:val="00602F7A"/>
    <w:rsid w:val="00620991"/>
    <w:rsid w:val="00621D95"/>
    <w:rsid w:val="00622F1D"/>
    <w:rsid w:val="0062481F"/>
    <w:rsid w:val="00645163"/>
    <w:rsid w:val="006542B2"/>
    <w:rsid w:val="00666B25"/>
    <w:rsid w:val="006724B7"/>
    <w:rsid w:val="0068449B"/>
    <w:rsid w:val="0069115F"/>
    <w:rsid w:val="006B1BD5"/>
    <w:rsid w:val="006B7B0E"/>
    <w:rsid w:val="006E47A5"/>
    <w:rsid w:val="006E6846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703BE"/>
    <w:rsid w:val="00774C0B"/>
    <w:rsid w:val="0077664D"/>
    <w:rsid w:val="00787EDA"/>
    <w:rsid w:val="007943AD"/>
    <w:rsid w:val="0079785C"/>
    <w:rsid w:val="007A2A9D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6E0A"/>
    <w:rsid w:val="008122C4"/>
    <w:rsid w:val="00823908"/>
    <w:rsid w:val="008418FD"/>
    <w:rsid w:val="00860785"/>
    <w:rsid w:val="00863410"/>
    <w:rsid w:val="00877226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40AD"/>
    <w:rsid w:val="009467B6"/>
    <w:rsid w:val="00960B5D"/>
    <w:rsid w:val="00961DEE"/>
    <w:rsid w:val="00972553"/>
    <w:rsid w:val="00973D9B"/>
    <w:rsid w:val="00993B62"/>
    <w:rsid w:val="009970D7"/>
    <w:rsid w:val="009A451A"/>
    <w:rsid w:val="009A4F8A"/>
    <w:rsid w:val="009D0520"/>
    <w:rsid w:val="009D4005"/>
    <w:rsid w:val="009D411B"/>
    <w:rsid w:val="009E334F"/>
    <w:rsid w:val="00A056A0"/>
    <w:rsid w:val="00A15519"/>
    <w:rsid w:val="00A155FA"/>
    <w:rsid w:val="00A15B9A"/>
    <w:rsid w:val="00A1762E"/>
    <w:rsid w:val="00A232F0"/>
    <w:rsid w:val="00A33D20"/>
    <w:rsid w:val="00A34C2D"/>
    <w:rsid w:val="00A3553E"/>
    <w:rsid w:val="00A372C8"/>
    <w:rsid w:val="00A4349A"/>
    <w:rsid w:val="00A460E1"/>
    <w:rsid w:val="00A54FB2"/>
    <w:rsid w:val="00A6573C"/>
    <w:rsid w:val="00A6763A"/>
    <w:rsid w:val="00A67F7F"/>
    <w:rsid w:val="00A70676"/>
    <w:rsid w:val="00A72B54"/>
    <w:rsid w:val="00A76C19"/>
    <w:rsid w:val="00A908EF"/>
    <w:rsid w:val="00A915E3"/>
    <w:rsid w:val="00AA3A6B"/>
    <w:rsid w:val="00AB39E2"/>
    <w:rsid w:val="00AB58D3"/>
    <w:rsid w:val="00AB7837"/>
    <w:rsid w:val="00AD2FE4"/>
    <w:rsid w:val="00AD3B9B"/>
    <w:rsid w:val="00AD65DF"/>
    <w:rsid w:val="00AE1855"/>
    <w:rsid w:val="00AF6543"/>
    <w:rsid w:val="00B02CF4"/>
    <w:rsid w:val="00B067D5"/>
    <w:rsid w:val="00B301FC"/>
    <w:rsid w:val="00B30B5C"/>
    <w:rsid w:val="00B32F6A"/>
    <w:rsid w:val="00B348E7"/>
    <w:rsid w:val="00B507A0"/>
    <w:rsid w:val="00B52392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C2DF2"/>
    <w:rsid w:val="00BD6AB6"/>
    <w:rsid w:val="00BE0E52"/>
    <w:rsid w:val="00C074A7"/>
    <w:rsid w:val="00C07990"/>
    <w:rsid w:val="00C13BBA"/>
    <w:rsid w:val="00C33A34"/>
    <w:rsid w:val="00C33D46"/>
    <w:rsid w:val="00C36160"/>
    <w:rsid w:val="00C367CD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55FE"/>
    <w:rsid w:val="00CD4BB6"/>
    <w:rsid w:val="00CD6090"/>
    <w:rsid w:val="00CE5D01"/>
    <w:rsid w:val="00CE7D36"/>
    <w:rsid w:val="00CF7036"/>
    <w:rsid w:val="00D25870"/>
    <w:rsid w:val="00D411D6"/>
    <w:rsid w:val="00D448BF"/>
    <w:rsid w:val="00D473FA"/>
    <w:rsid w:val="00D51155"/>
    <w:rsid w:val="00D5442B"/>
    <w:rsid w:val="00D61DB3"/>
    <w:rsid w:val="00D74218"/>
    <w:rsid w:val="00D769D1"/>
    <w:rsid w:val="00D83975"/>
    <w:rsid w:val="00D876BD"/>
    <w:rsid w:val="00D90FC9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68AF"/>
    <w:rsid w:val="00E218EE"/>
    <w:rsid w:val="00E2492D"/>
    <w:rsid w:val="00E34C14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A1CAE"/>
    <w:rsid w:val="00EA7523"/>
    <w:rsid w:val="00EB3B25"/>
    <w:rsid w:val="00EB6F07"/>
    <w:rsid w:val="00EC2A14"/>
    <w:rsid w:val="00EF3BDA"/>
    <w:rsid w:val="00EF5359"/>
    <w:rsid w:val="00F02910"/>
    <w:rsid w:val="00F04E66"/>
    <w:rsid w:val="00F06E9D"/>
    <w:rsid w:val="00F10F0C"/>
    <w:rsid w:val="00F13A4E"/>
    <w:rsid w:val="00F21E4E"/>
    <w:rsid w:val="00F37D9A"/>
    <w:rsid w:val="00F4182C"/>
    <w:rsid w:val="00F45449"/>
    <w:rsid w:val="00F61CA8"/>
    <w:rsid w:val="00F6774A"/>
    <w:rsid w:val="00F71A31"/>
    <w:rsid w:val="00F749A8"/>
    <w:rsid w:val="00F77BD3"/>
    <w:rsid w:val="00F8360B"/>
    <w:rsid w:val="00F86D08"/>
    <w:rsid w:val="00F86E68"/>
    <w:rsid w:val="00F9290B"/>
    <w:rsid w:val="00F93875"/>
    <w:rsid w:val="00F94B07"/>
    <w:rsid w:val="00F95446"/>
    <w:rsid w:val="00FB77FA"/>
    <w:rsid w:val="00FC5914"/>
    <w:rsid w:val="00FC6F10"/>
    <w:rsid w:val="00FD0CBE"/>
    <w:rsid w:val="00FD20A6"/>
    <w:rsid w:val="00FD2831"/>
    <w:rsid w:val="00FD2E2B"/>
    <w:rsid w:val="00FD6995"/>
    <w:rsid w:val="00FE4C58"/>
    <w:rsid w:val="00FE5B19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775E7E19-5C0D-4A48-B03A-BD3281C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54C0-02B2-4F93-89F1-8F28ADA7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2</cp:revision>
  <cp:lastPrinted>2013-10-08T15:14:00Z</cp:lastPrinted>
  <dcterms:created xsi:type="dcterms:W3CDTF">2015-09-22T12:39:00Z</dcterms:created>
  <dcterms:modified xsi:type="dcterms:W3CDTF">2015-09-22T12:39:00Z</dcterms:modified>
</cp:coreProperties>
</file>